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Default Extension="png" ContentType="image/png"/>
  <Override PartName="/word/settings.xml" ContentType="application/vnd.openxmlformats-officedocument.wordprocessingml.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webSettings.xml" ContentType="application/vnd.openxmlformats-officedocument.wordprocessingml.webSetting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w:body>
    <w:tbl>
      <w:tblPr>
        <w:tblStyle w:val="TableStyle0"/>
        <w:tblW w:w="0" w:type="auto"/>
        <w:tblLayout w:type="fixed"/>
        <w:tblLook w:val="04A0"/>
      </w:tblPr>
      <w:tblGrid>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tblGrid>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75" w:hRule="atLeast"/>
        </w:trPr>
        <w:tc>
          <w:tcPr>
            <w:tcW w:w="14450" w:type="dxa"/>
            <w:gridSpan w:val="50"/>
            <w:shd w:val="clear" w:color="FFFFFF" w:fill="auto"/>
            <w:textDirection w:val="lrTb"/>
            <w:vAlign w:val="bottom"/>
          </w:tcPr>
          <w:p>
            <w:pPr>
              <w:jc w:val="center"/>
            </w:pPr>
            <w:r>
              <w:rPr>
                <w:rFonts w:ascii="Times New Roman" w:hAnsi="Times New Roman"/>
                <w:b/>
                <w:sz w:val="28"/>
                <w:szCs w:val="28"/>
              </w:rPr>
              <w:t>Техническое задание по Лоту №1</w:t>
            </w:r>
          </w:p>
        </w:tc>
      </w:tr>
      <w:tr>
        <w:trPr>
          <w:trHeight w:val="375" w:hRule="atLeast"/>
        </w:trPr>
        <w:tc>
          <w:tcPr>
            <w:tcW w:w="14450" w:type="dxa"/>
            <w:gridSpan w:val="50"/>
            <w:shd w:val="clear" w:color="FFFFFF" w:fill="auto"/>
            <w:textDirection w:val="lrTb"/>
            <w:vAlign w:val="bottom"/>
          </w:tcPr>
          <w:p>
            <w:pPr>
              <w:jc w:val="center"/>
            </w:pPr>
            <w:r>
              <w:rPr>
                <w:rFonts w:ascii="Times New Roman" w:hAnsi="Times New Roman"/>
                <w:b/>
                <w:sz w:val="28"/>
                <w:szCs w:val="28"/>
              </w:rPr>
              <w:t>По открытому запросу предложений  № 150 736</w:t>
            </w:r>
          </w:p>
        </w:tc>
      </w:tr>
      <w:tr>
        <w:trPr>
          <w:trHeight w:val="375" w:hRule="atLeast"/>
        </w:trPr>
        <w:tc>
          <w:tcPr>
            <w:tcW w:w="14450" w:type="dxa"/>
            <w:gridSpan w:val="50"/>
            <w:shd w:val="clear" w:color="FFFFFF" w:fill="auto"/>
            <w:textDirection w:val="lrTb"/>
            <w:vAlign w:val="bottom"/>
          </w:tcPr>
          <w:p>
            <w:pPr>
              <w:jc w:val="center"/>
            </w:pPr>
            <w:r>
              <w:rPr>
                <w:rFonts w:ascii="Times New Roman" w:hAnsi="Times New Roman"/>
                <w:b/>
                <w:sz w:val="28"/>
                <w:szCs w:val="28"/>
              </w:rPr>
              <w:t>Для нужд: АО "Газпром газораспределение Белгород"</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578" w:type="dxa"/>
            <w:vMerge w:val="restart"/>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1.</w:t>
            </w:r>
          </w:p>
        </w:tc>
        <w:tc>
          <w:tcPr>
            <w:tcW w:w="8381" w:type="dxa"/>
            <w:vMerge w:val="restart"/>
            <w:gridSpan w:val="29"/>
            <w:shd w:val="clear" w:color="FFFFFF" w:fill="auto"/>
            <w:textDirection w:val="lrTb"/>
            <w:vAlign w:val="center"/>
            <w:tcBorders>
              <w:top w:val="single" w:sz="5" w:space="0" w:color="auto"/>
              <w:left w:val="single" w:sz="5" w:space="0" w:color="auto"/>
              <w:bottom w:val="single" w:sz="5" w:space="0" w:color="auto"/>
            </w:tcBorders>
          </w:tcPr>
          <w:p>
            <w:pPr>
              <w:jc w:val="left"/>
            </w:pPr>
            <w:r>
              <w:rPr>
                <w:rFonts w:ascii="Times New Roman" w:hAnsi="Times New Roman"/>
                <w:b/>
                <w:sz w:val="22"/>
                <w:szCs w:val="22"/>
              </w:rPr>
              <w:t>Предмет закупки.</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ОКДП</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ОКВЭД</w:t>
            </w:r>
          </w:p>
        </w:tc>
      </w:tr>
      <w:tr>
        <w:trPr>
          <w:trHeight w:val="300" w:hRule="atLeast"/>
        </w:trPr>
        <w:tc>
          <w:tcPr>
            <w:tcW w:w="578" w:type="dxa"/>
            <w:vMerge w:val="continue"/>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1.</w:t>
            </w:r>
          </w:p>
        </w:tc>
        <w:tc>
          <w:tcPr>
            <w:tcW w:w="8381" w:type="dxa"/>
            <w:vMerge w:val="continue"/>
            <w:gridSpan w:val="29"/>
            <w:shd w:val="clear" w:color="FFFFFF" w:fill="auto"/>
            <w:textDirection w:val="lrTb"/>
            <w:vAlign w:val="center"/>
            <w:tcBorders>
              <w:top w:val="single" w:sz="5" w:space="0" w:color="auto"/>
              <w:left w:val="single" w:sz="5" w:space="0" w:color="auto"/>
              <w:bottom w:val="single" w:sz="5" w:space="0" w:color="auto"/>
            </w:tcBorders>
          </w:tcPr>
          <w:p>
            <w:pPr>
              <w:jc w:val="left"/>
            </w:pPr>
            <w:r>
              <w:rPr>
                <w:rFonts w:ascii="Times New Roman" w:hAnsi="Times New Roman"/>
                <w:b/>
                <w:sz w:val="22"/>
                <w:szCs w:val="22"/>
              </w:rPr>
              <w:t>Предмет закупки.</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sz w:val="22"/>
                <w:szCs w:val="22"/>
              </w:rPr>
              <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sz w:val="22"/>
                <w:szCs w:val="22"/>
              </w:rPr>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sz w:val="20"/>
                <w:szCs w:val="20"/>
              </w:rPr>
              <w:t>№</w:t>
              <w:br/>
              <w:t>
п/п</w:t>
            </w:r>
          </w:p>
        </w:tc>
        <w:tc>
          <w:tcPr>
            <w:tcW w:w="5202" w:type="dxa"/>
            <w:gridSpan w:val="18"/>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0"/>
                <w:szCs w:val="20"/>
              </w:rPr>
              <w:t>Наименование предмета закупки</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sz w:val="20"/>
                <w:szCs w:val="20"/>
              </w:rPr>
              <w:t>Ед.</w:t>
              <w:br/>
              <w:t>
изм.</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Колич</w:t>
              <w:br/>
              <w:t>
ество</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Допустимость аналога</w:t>
            </w:r>
          </w:p>
        </w:tc>
        <w:tc>
          <w:tcPr>
            <w:tcW w:w="2890" w:type="dxa"/>
            <w:gridSpan w:val="10"/>
            <w:shd w:val="clear" w:color="FFFFFF" w:fill="auto"/>
            <w:textDirection w:val="lrTb"/>
            <w:vAlign w:val="center"/>
            <w:tcBorders>
              <w:top w:val="single" w:sz="5" w:space="0" w:color="auto"/>
              <w:left w:val="single" w:sz="5" w:space="0" w:color="auto"/>
            </w:tcBorders>
          </w:tcPr>
          <w:p>
            <w:pPr>
              <w:jc w:val="center"/>
            </w:pPr>
            <w:r>
              <w:rPr>
                <w:rFonts w:ascii="Times New Roman" w:hAnsi="Times New Roman"/>
                <w:sz w:val="20"/>
                <w:szCs w:val="20"/>
              </w:rPr>
              <w:t>Грузополучатель</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Место (адрес) поставки товара</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Кран шаровый п/э, 1/4 оборота, неполный проход, КНP ПЭ100 SDR11 d110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1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Шаровой кран SDR 11 из ПЭ 100 на 1 / 4 оборота. Патрубки и привод шарового крана изготовлены из ПЭ-ВП. Удлиненные патрубки длинной не менее 178 мм рассчитаны не менее, чем на две сварки. Длина шарового крана не менее 545 мм. Высота шарового крана не более 245 мм. Вес не более 4900 кг. Толщина стенки патрубков не менее 43 мм. Крутящий момент не более 17 Нм. Патрубки вварены в корпус методом раструбной сварки. Поворотный механизм защищен специальной герметичной насадкой из полипропилена для защиты поворотного механизма от механического воздействия, от попадания в корпус крана влаги, пыли и грунта, а также для защиты от поломки поворотного механизма шарового крана при случайном повреждении штока. Наличие уплотнительного кольца, установленного между насадкой и корпусом для повышения уровня герметичности. Наружный квадрат SW1 размером не более чем 50х50 мм, внутренний квадрат SW2 размером не более чем 25 мм. При присоединении управляющей телескопической штанги с поворотным механизмом, колба должна полностью защищать его от механических воздействий и загрязнения. Предусмотрены упоры для предотвращения поворота шара более чем на 90°.В конструкции шаровых кранов d50-d225 предусмотрен специальный защитный бортик для предотвращения механического воздействия грунта на поворотный механизм. газовый</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Кран шаровый п/э, 1/4 оборота, неполный проход, КНP ПЭ100 SDR11 d63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1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Шаровой кран SDR 11 из ПЭ 100 на 1 / 4 оборота. Патрубки и привод шарового крана изготовлены из ПЭ-ВП. Удлиненные патрубки длинной не менее  125 мм рассчитаны не менее, чем на две сварки. Длина шарового крана не менее 125 мм. Высота шарового крана не более 125 мм. Вес не более  2,330 кг. Толщина стенки патрубков не менее 20 мм. Крутящий момент не более 10 Нм. Патрубки вварены в корпус методом раструбной сварки. Поворотный механизм защищен специальной герметичной насадкой из полипропилена для защиты поворотного механизма от механического воздействия, от попадания в корпус крана влаги, пыли и грунта, а также для защиты от поломки поворотного механизма шарового крана при случайном повреждении штока. Наличие уплотнительного кольца, установленного между насадкой и корпусом для повышения уровня герметичности. Наружный квадрат SW1 размером не более чем 50х50 мм, внутренний квадрат SW2 размером не более чем 25 мм. При присоединении управляющей телескопической штанги с поворотным механизмом, колба должна полностью защищать его от механических воздействий и загрязнения. Предусмотрены упоры для предотвращения поворота шара более чем на 90°.В конструкции шаровых кранов d50-d225 предусмотрен специальный защитный бортик для предотвращения механического воздействия грунта на поворотный механизм. газовый</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Удлинитель телескопический BS для шаровых полиэтиленовых кранов L1.2-2м d63-225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20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Монтажный набор d 63-225/1,2-2,0м «Friatec AG» Монтажный набор –телескопический удлинитель для шаровых кранов KH, KHP  и арматуры AKHP Телескопическая приводная штанга с диапазоном глубины заложения (расстояние от верхнего уровня распределительного газопровода до нижнего края ковера) 1.20-2.0  для шаровых кранов. Штанга имеет бесступенчатую установку по высоте и в смонтированном состоянии. Материал штока горячеоцинкованная гальванизированная сталь. Защитный чехол – ПЭ. Конструктивно предусмотрено предохранение от самопроизвольного и избыточного выдвижения. Штанга само фиксирующаяся при любом положении вытяжения.</w:t>
            </w:r>
          </w:p>
        </w:tc>
      </w:tr>
      <w:tr>
        <w:trPr>
          <w:trHeight w:val="300" w:hRule="atLeast"/>
        </w:trPr>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r>
      <w:tr>
        <w:trPr>
          <w:trHeight w:val="300" w:hRule="atLeast"/>
        </w:trPr>
        <w:tc>
          <w:tcPr>
            <w:tcW w:w="578" w:type="dxa"/>
            <w:gridSpan w:val="2"/>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2.</w:t>
            </w:r>
          </w:p>
        </w:tc>
        <w:tc>
          <w:tcPr>
            <w:tcW w:w="13872" w:type="dxa"/>
            <w:gridSpan w:val="48"/>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Условия поставки товаров</w:t>
            </w:r>
          </w:p>
        </w:tc>
      </w:tr>
      <w:tr>
        <w:trPr>
          <w:trHeight w:val="300" w:hRule="atLeast"/>
        </w:trPr>
        <w:tc>
          <w:tcPr>
            <w:tcW w:w="4335" w:type="dxa"/>
            <w:gridSpan w:val="15"/>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2"/>
                <w:szCs w:val="22"/>
              </w:rPr>
              <w:t>Грузополучатель</w:t>
            </w:r>
          </w:p>
        </w:tc>
        <w:tc>
          <w:tcPr>
            <w:tcW w:w="10115" w:type="dxa"/>
            <w:gridSpan w:val="35"/>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sz w:val="22"/>
                <w:szCs w:val="22"/>
              </w:rPr>
              <w:t>АО "Газпром газораспределение Белгород"</w:t>
            </w:r>
          </w:p>
        </w:tc>
      </w:tr>
      <w:tr>
        <w:trPr>
          <w:trHeight w:val="300" w:hRule="atLeast"/>
        </w:trPr>
        <w:tc>
          <w:tcPr>
            <w:tcW w:w="4335" w:type="dxa"/>
            <w:gridSpan w:val="15"/>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2"/>
                <w:szCs w:val="22"/>
              </w:rPr>
              <w:t>Место (адрес) поставки товаров</w:t>
            </w:r>
          </w:p>
        </w:tc>
        <w:tc>
          <w:tcPr>
            <w:tcW w:w="10115" w:type="dxa"/>
            <w:gridSpan w:val="35"/>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2"/>
                <w:szCs w:val="22"/>
              </w:rPr>
              <w:t>308017, г. Белгород, ул. Разуменская, 1 (Территория  базы ГНС)</w:t>
            </w:r>
          </w:p>
        </w:tc>
      </w:tr>
      <w:tr>
        <w:trPr>
          <w:trHeight w:val="300" w:hRule="atLeast"/>
        </w:trPr>
        <w:tc>
          <w:tcPr>
            <w:tcW w:w="4335" w:type="dxa"/>
            <w:gridSpan w:val="15"/>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2"/>
                <w:szCs w:val="22"/>
              </w:rPr>
              <w:t>Срок (период) поставки товаров</w:t>
            </w:r>
          </w:p>
        </w:tc>
        <w:tc>
          <w:tcPr>
            <w:tcW w:w="10115" w:type="dxa"/>
            <w:gridSpan w:val="35"/>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2"/>
                <w:szCs w:val="22"/>
              </w:rPr>
              <w:t>От 45 до 55 календарных дней с даты заключения договора</w:t>
            </w:r>
          </w:p>
        </w:tc>
      </w:tr>
      <w:tr>
        <w:trPr>
          <w:trHeight w:val="300" w:hRule="atLeast"/>
        </w:trPr>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r>
      <w:tr>
        <w:trPr>
          <w:trHeight w:val="300" w:hRule="atLeast"/>
        </w:trPr>
        <w:tc>
          <w:tcPr>
            <w:tcW w:w="578" w:type="dxa"/>
            <w:gridSpan w:val="2"/>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3.</w:t>
            </w:r>
          </w:p>
        </w:tc>
        <w:tc>
          <w:tcPr>
            <w:tcW w:w="13872" w:type="dxa"/>
            <w:gridSpan w:val="48"/>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Условия проведения закупочной процедуры.</w:t>
            </w:r>
          </w:p>
        </w:tc>
      </w:tr>
      <w:tr>
        <w:trPr>
          <w:trHeight w:val="840" w:hRule="atLeast"/>
        </w:trPr>
        <w:tc>
          <w:tcPr>
            <w:tcW w:w="4624" w:type="dxa"/>
            <w:gridSpan w:val="16"/>
            <w:shd w:val="clear" w:color="FFFFFF" w:fill="auto"/>
            <w:textDirection w:val="lrTb"/>
            <w:vAlign w:val="center"/>
            <w:tcBorders>
              <w:top w:val="single" w:sz="5" w:space="0" w:color="auto"/>
              <w:left w:val="single" w:sz="5" w:space="0" w:color="auto"/>
            </w:tcBorders>
          </w:tcPr>
          <w:p>
            <w:pPr>
              <w:wordWrap w:val="1"/>
              <w:jc w:val="left"/>
            </w:pPr>
            <w:r>
              <w:rPr>
                <w:rFonts w:ascii="Times New Roman" w:hAnsi="Times New Roman"/>
                <w:sz w:val="22"/>
                <w:szCs w:val="22"/>
              </w:rPr>
              <w:t>Начальная (максимальная)  цена предмета закупки для участников, не освобожденных от уплаты НДС (с НДС), рублей</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327 869,94</w:t>
            </w:r>
          </w:p>
        </w:tc>
        <w:tc>
          <w:tcPr>
            <w:tcW w:w="2312" w:type="dxa"/>
            <w:vMerge w:val="restart"/>
            <w:gridSpan w:val="8"/>
            <w:shd w:val="clear" w:color="FFFFFF" w:fill="auto"/>
            <w:textDirection w:val="lrTb"/>
            <w:vAlign w:val="center"/>
            <w:tcBorders>
              <w:top w:val="single" w:sz="5" w:space="0" w:color="auto"/>
            </w:tcBorders>
          </w:tcPr>
          <w:p>
            <w:pPr>
              <w:jc w:val="center"/>
            </w:pPr>
            <w:r>
              <w:rPr>
                <w:rFonts w:ascii="Times New Roman" w:hAnsi="Times New Roman"/>
                <w:sz w:val="22"/>
                <w:szCs w:val="22"/>
              </w:rPr>
              <w:t>Способ закупки</w:t>
            </w:r>
          </w:p>
        </w:tc>
        <w:tc>
          <w:tcPr>
            <w:tcW w:w="4913" w:type="dxa"/>
            <w:vMerge w:val="restart"/>
            <w:gridSpan w:val="17"/>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2"/>
                <w:szCs w:val="22"/>
              </w:rPr>
              <w:t>Открытый запрос предложений</w:t>
            </w:r>
          </w:p>
        </w:tc>
      </w:tr>
      <w:tr>
        <w:trPr>
          <w:trHeight w:val="300" w:hRule="atLeast"/>
        </w:trPr>
        <w:tc>
          <w:tcPr>
            <w:tcW w:w="4624" w:type="dxa"/>
            <w:gridSpan w:val="16"/>
            <w:shd w:val="clear" w:color="FFFFFF" w:fill="auto"/>
            <w:textDirection w:val="lrTb"/>
            <w:vAlign w:val="center"/>
            <w:tcBorders>
              <w:top w:val="single" w:sz="5" w:space="0" w:color="auto"/>
              <w:left w:val="single" w:sz="5" w:space="0" w:color="auto"/>
            </w:tcBorders>
          </w:tcPr>
          <w:p>
            <w:pPr>
              <w:wordWrap w:val="1"/>
              <w:jc w:val="left"/>
            </w:pPr>
            <w:r>
              <w:rPr>
                <w:rFonts w:ascii="Times New Roman" w:hAnsi="Times New Roman"/>
                <w:sz w:val="22"/>
                <w:szCs w:val="22"/>
              </w:rPr>
              <w:t>В том числе НДС, рублей</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50 014,05</w:t>
            </w:r>
          </w:p>
        </w:tc>
        <w:tc>
          <w:tcPr>
            <w:tcW w:w="2312" w:type="dxa"/>
            <w:vMerge w:val="continue"/>
            <w:gridSpan w:val="8"/>
            <w:shd w:val="clear" w:color="FFFFFF" w:fill="auto"/>
            <w:textDirection w:val="lrTb"/>
            <w:vAlign w:val="center"/>
            <w:tcBorders>
              <w:top w:val="single" w:sz="5" w:space="0" w:color="auto"/>
            </w:tcBorders>
          </w:tcPr>
          <w:p>
            <w:pPr>
              <w:jc w:val="center"/>
            </w:pPr>
            <w:r>
              <w:rPr>
                <w:rFonts w:ascii="Times New Roman" w:hAnsi="Times New Roman"/>
                <w:sz w:val="22"/>
                <w:szCs w:val="22"/>
              </w:rPr>
              <w:t>Способ закупки</w:t>
            </w:r>
          </w:p>
        </w:tc>
        <w:tc>
          <w:tcPr>
            <w:tcW w:w="4913" w:type="dxa"/>
            <w:vMerge w:val="continue"/>
            <w:gridSpan w:val="17"/>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2"/>
                <w:szCs w:val="22"/>
              </w:rPr>
              <w:t>Открытый запрос предложений</w:t>
            </w:r>
          </w:p>
        </w:tc>
      </w:tr>
      <w:tr>
        <w:trPr>
          <w:trHeight w:val="1380" w:hRule="atLeast"/>
        </w:trPr>
        <w:tc>
          <w:tcPr>
            <w:tcW w:w="4624" w:type="dxa"/>
            <w:gridSpan w:val="16"/>
            <w:shd w:val="clear" w:color="FFFFFF" w:fill="auto"/>
            <w:textDirection w:val="lrTb"/>
            <w:vAlign w:val="center"/>
            <w:tcBorders>
              <w:top w:val="single" w:sz="5" w:space="0" w:color="auto"/>
              <w:left w:val="single" w:sz="5" w:space="0" w:color="auto"/>
            </w:tcBorders>
          </w:tcPr>
          <w:p>
            <w:pPr>
              <w:wordWrap w:val="1"/>
              <w:jc w:val="left"/>
            </w:pPr>
            <w:r>
              <w:rPr>
                <w:rFonts w:ascii="Times New Roman" w:hAnsi="Times New Roman"/>
                <w:sz w:val="22"/>
                <w:szCs w:val="22"/>
              </w:rPr>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рублей</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277 855,89</w:t>
            </w:r>
          </w:p>
        </w:tc>
        <w:tc>
          <w:tcPr>
            <w:tcW w:w="2312" w:type="dxa"/>
            <w:vMerge w:val="continue"/>
            <w:gridSpan w:val="8"/>
            <w:shd w:val="clear" w:color="FFFFFF" w:fill="auto"/>
            <w:textDirection w:val="lrTb"/>
            <w:vAlign w:val="center"/>
            <w:tcBorders>
              <w:top w:val="single" w:sz="5" w:space="0" w:color="auto"/>
            </w:tcBorders>
          </w:tcPr>
          <w:p>
            <w:pPr>
              <w:jc w:val="center"/>
            </w:pPr>
            <w:r>
              <w:rPr>
                <w:rFonts w:ascii="Times New Roman" w:hAnsi="Times New Roman"/>
                <w:sz w:val="22"/>
                <w:szCs w:val="22"/>
              </w:rPr>
              <w:t>Способ закупки</w:t>
            </w:r>
          </w:p>
        </w:tc>
        <w:tc>
          <w:tcPr>
            <w:tcW w:w="4913" w:type="dxa"/>
            <w:vMerge w:val="continue"/>
            <w:gridSpan w:val="17"/>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2"/>
                <w:szCs w:val="22"/>
              </w:rPr>
              <w:t>Открытый запрос предложений</w:t>
            </w:r>
          </w:p>
        </w:tc>
      </w:tr>
      <w:tr>
        <w:trPr>
          <w:trHeight w:val="840" w:hRule="atLeast"/>
        </w:trPr>
        <w:tc>
          <w:tcPr>
            <w:tcW w:w="6647" w:type="dxa"/>
            <w:gridSpan w:val="2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b/>
                <w:sz w:val="22"/>
                <w:szCs w:val="22"/>
              </w:rPr>
              <w:t>Обязательное требование к условиям оплаты товара </w:t>
            </w:r>
          </w:p>
        </w:tc>
        <w:tc>
          <w:tcPr>
            <w:tcW w:w="7803" w:type="dxa"/>
            <w:gridSpan w:val="27"/>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2"/>
                <w:szCs w:val="22"/>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bl>
    <w:sectPr>
      <w:pgSz w:w="16839" w:h="11907" w:orient="landscape"/>
      <w:pgMar w:top="567" w:right="567" w:bottom="567" w:left="567"/>
    </w:sectPr>
  </w:body>
</w:document>
</file>

<file path=word/settings.xml><?xml version="1.0" encoding="utf-8"?>
<w:settings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view w:val="web"/>
  <w:zoom w:percent="100"/>
</w:settings>
</file>

<file path=word/styles.xml><?xml version="1.0" encoding="utf-8"?>
<w:styles xmlns:r="http://schemas.openxmlformats.org/officeDocument/2006/relationships" xmlns:w="http://schemas.openxmlformats.org/wordprocessingml/2006/main">
  <w:style w:type="table" w:styleId="TableStyle0">
    <w:name w:val="TableStyle0"/>
    <w:pPr>
      <w:spacing w:after="0" w:line="240" w:lineRule="auto"/>
    </w:pPr>
    <w:rPr>
      <w:rFonts w:ascii="Arial" w:hAnsi="Arial"/>
      <w:sz w:val="16"/>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 Id="rId8" Type="http://schemas.openxmlformats.org/officeDocument/2006/relationships/header" Target="header1.xml"/>
	<Relationship Id="rId9" Type="http://schemas.openxmlformats.org/officeDocument/2006/relationships/footer" Target="footer1.xml"/>
	<Relationship Id="rId10" Type="http://schemas.openxmlformats.org/officeDocument/2006/relationships/header" Target="header2.xml"/>
	<Relationship Id="rId11" Type="http://schemas.openxmlformats.org/officeDocument/2006/relationships/footer" Target="footer2.xml"/>
</Relationships>
</file>